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BC51BF" w14:paraId="389569A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D4C871B" w14:textId="77777777" w:rsidR="00BC51BF" w:rsidRDefault="00C91CE1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6BE7D9A4" w14:textId="77777777" w:rsidR="00BC51BF" w:rsidRDefault="00C91CE1">
            <w:pPr>
              <w:spacing w:after="0" w:line="240" w:lineRule="auto"/>
            </w:pPr>
            <w:r>
              <w:t>17538</w:t>
            </w:r>
          </w:p>
        </w:tc>
      </w:tr>
      <w:tr w:rsidR="00BC51BF" w14:paraId="7DA6B3D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70410DA" w14:textId="77777777" w:rsidR="00BC51BF" w:rsidRDefault="00C91CE1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52075077" w14:textId="77777777" w:rsidR="00BC51BF" w:rsidRDefault="00C91CE1">
            <w:pPr>
              <w:spacing w:after="0" w:line="240" w:lineRule="auto"/>
            </w:pPr>
            <w:r>
              <w:t>GRADITELJSKA ŠKOLA ZA INDUSTRIJU I OBRT RIJEKA</w:t>
            </w:r>
          </w:p>
        </w:tc>
      </w:tr>
      <w:tr w:rsidR="00BC51BF" w14:paraId="74D4089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F4DBA9B" w14:textId="77777777" w:rsidR="00BC51BF" w:rsidRDefault="00C91CE1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63FCD068" w14:textId="77777777" w:rsidR="00BC51BF" w:rsidRDefault="00C91CE1">
            <w:pPr>
              <w:spacing w:after="0" w:line="240" w:lineRule="auto"/>
            </w:pPr>
            <w:r>
              <w:t>31</w:t>
            </w:r>
          </w:p>
        </w:tc>
      </w:tr>
    </w:tbl>
    <w:p w14:paraId="055B38EB" w14:textId="77777777" w:rsidR="00BC51BF" w:rsidRDefault="00C91CE1">
      <w:r>
        <w:br/>
      </w:r>
    </w:p>
    <w:p w14:paraId="17A346BF" w14:textId="77777777" w:rsidR="00BC51BF" w:rsidRDefault="00C91CE1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6DDDC9C7" w14:textId="77777777" w:rsidR="00BC51BF" w:rsidRDefault="00C91CE1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7092C091" w14:textId="77777777" w:rsidR="00BC51BF" w:rsidRDefault="00C91CE1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48F25C75" w14:textId="77777777" w:rsidR="00BC51BF" w:rsidRDefault="00BC51BF"/>
    <w:p w14:paraId="14D1CFFF" w14:textId="77777777" w:rsidR="00BC51BF" w:rsidRDefault="00C91CE1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502514CB" w14:textId="77777777" w:rsidR="00BC51BF" w:rsidRDefault="00C91CE1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51BF" w14:paraId="08AB89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9BA190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91E7C8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75AEA9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BA5C6B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78323E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2C1EF0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51BF" w14:paraId="42EDB8C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BFE81B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381B10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POSLOVANJA (šifre </w:t>
            </w:r>
            <w:r>
              <w:rPr>
                <w:sz w:val="18"/>
              </w:rPr>
              <w:t>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732B0C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475D54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816.552,03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D41DA2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920.611,19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819994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112,7</w:t>
            </w:r>
          </w:p>
        </w:tc>
      </w:tr>
      <w:tr w:rsidR="00BC51BF" w14:paraId="055C968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D6876E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165856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4798C2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BC2931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815.909,74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84E0B0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999.741,07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ACC05E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122,5</w:t>
            </w:r>
          </w:p>
        </w:tc>
      </w:tr>
      <w:tr w:rsidR="00BC51BF" w14:paraId="3788064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06FA8D" w14:textId="77777777" w:rsidR="00BC51BF" w:rsidRDefault="00BC51B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C6E0B1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A6CE99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50BDCB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8DD20A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79.129,88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BF9371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C51BF" w14:paraId="3729418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66B746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91E993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nefinancijske imovine </w:t>
            </w:r>
            <w:r>
              <w:rPr>
                <w:sz w:val="18"/>
              </w:rPr>
              <w:t>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BA6AAB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9AF9CA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6D81CB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190032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18,7</w:t>
            </w:r>
          </w:p>
        </w:tc>
      </w:tr>
      <w:tr w:rsidR="00BC51BF" w14:paraId="1ABC0C6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C396D6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7E56ED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D98B00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B67517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785,91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B6B105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2.480,64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B1F976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315,6</w:t>
            </w:r>
          </w:p>
        </w:tc>
      </w:tr>
      <w:tr w:rsidR="00BC51BF" w14:paraId="5E273D2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344114" w14:textId="77777777" w:rsidR="00BC51BF" w:rsidRDefault="00BC51B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B1738E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AAFFE0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2726CB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712,83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07FB3D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2.466,94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3DFD32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346,1</w:t>
            </w:r>
          </w:p>
        </w:tc>
      </w:tr>
      <w:tr w:rsidR="00BC51BF" w14:paraId="6658FA8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630945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6763B3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Primici od financijske imovine i </w:t>
            </w:r>
            <w:r>
              <w:rPr>
                <w:sz w:val="18"/>
              </w:rPr>
              <w:t>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689661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5DE49A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17A7DD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8F7A70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C51BF" w14:paraId="10B8C6D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8FA65E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EE4D1F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118A89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FC6F4F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46CC63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1BF5FE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C51BF" w14:paraId="13867B1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B147CE" w14:textId="77777777" w:rsidR="00BC51BF" w:rsidRDefault="00BC51B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1C5C8F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17D908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EDBDC7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966C22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BF4353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C51BF" w14:paraId="3DF4630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2C8363" w14:textId="77777777" w:rsidR="00BC51BF" w:rsidRDefault="00BC51B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B92DA1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 xml:space="preserve">MANJAK </w:t>
            </w:r>
            <w:r>
              <w:rPr>
                <w:b/>
                <w:sz w:val="18"/>
              </w:rPr>
              <w:t>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1849F5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DA3F5B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70,54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BD4992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81.596,82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BC32C4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&gt;&gt;100</w:t>
            </w:r>
          </w:p>
        </w:tc>
      </w:tr>
    </w:tbl>
    <w:p w14:paraId="63886EAB" w14:textId="77777777" w:rsidR="00BC51BF" w:rsidRDefault="00BC51BF">
      <w:pPr>
        <w:spacing w:after="0"/>
      </w:pPr>
    </w:p>
    <w:p w14:paraId="040A6F84" w14:textId="77777777" w:rsidR="00BC51BF" w:rsidRDefault="00C91CE1">
      <w:r>
        <w:t>FINANCIJSKI IZVJEŠTAJ ZA RAZDOBLJE OD 01.01.2025 DO 31.12.2025. GODINE</w:t>
      </w:r>
    </w:p>
    <w:p w14:paraId="1F64C2D1" w14:textId="77777777" w:rsidR="00BC51BF" w:rsidRDefault="00C91CE1">
      <w:r>
        <w:t> </w:t>
      </w:r>
    </w:p>
    <w:p w14:paraId="779297AD" w14:textId="77777777" w:rsidR="00BC51BF" w:rsidRDefault="00C91CE1">
      <w:r>
        <w:br/>
      </w:r>
    </w:p>
    <w:p w14:paraId="4DD1BA30" w14:textId="77777777" w:rsidR="00BC51BF" w:rsidRDefault="00C91CE1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51BF" w14:paraId="40BB51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E0A479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12720D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AE2A20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92F075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1F8261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D9C72F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51BF" w14:paraId="28046CA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2BFBFF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6F68D6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15B5AF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E7A92E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816.552,03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5222CD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920.611,19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0DEB30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112,7</w:t>
            </w:r>
          </w:p>
        </w:tc>
      </w:tr>
    </w:tbl>
    <w:p w14:paraId="4CC9F353" w14:textId="77777777" w:rsidR="00BC51BF" w:rsidRDefault="00BC51BF">
      <w:pPr>
        <w:spacing w:after="0"/>
      </w:pPr>
    </w:p>
    <w:p w14:paraId="7A88A61E" w14:textId="77777777" w:rsidR="00BC51BF" w:rsidRDefault="00C91CE1">
      <w:r>
        <w:t>Ukupni prihodi Graditeljska škole za industriju i obrt za razdoblje od 01.01. do 31.12.2025. iznose 920.611,19 eura što je 12,7% više u odnosu na prošlu 2024. godinu. Do navedenog povećanja je došlo zbog povećanja osnovice u rujnu i zapošljavanja novih dje</w:t>
      </w:r>
      <w:r>
        <w:t>latnika kao i zbog povećanja prihoda od strane osnivača PGŽ za 34,4 %</w:t>
      </w:r>
    </w:p>
    <w:p w14:paraId="6759CD79" w14:textId="77777777" w:rsidR="00BC51BF" w:rsidRDefault="00BC51BF"/>
    <w:p w14:paraId="7B2C8F78" w14:textId="77777777" w:rsidR="00BC51BF" w:rsidRDefault="00C91CE1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51BF" w14:paraId="37DA8B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88D9BD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161E45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942B95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58F042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05FADA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756618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51BF" w14:paraId="1C57867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37ABF6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CCEF89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iz </w:t>
            </w:r>
            <w:r>
              <w:rPr>
                <w:sz w:val="18"/>
              </w:rPr>
              <w:t>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0E1537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50AC88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69.800,92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F7B72C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93.825,16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3ADDAF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134,4</w:t>
            </w:r>
          </w:p>
        </w:tc>
      </w:tr>
    </w:tbl>
    <w:p w14:paraId="64CDB7A0" w14:textId="77777777" w:rsidR="00BC51BF" w:rsidRDefault="00BC51BF">
      <w:pPr>
        <w:spacing w:after="0"/>
      </w:pPr>
    </w:p>
    <w:p w14:paraId="430A6AC3" w14:textId="77777777" w:rsidR="00BC51BF" w:rsidRDefault="00C91CE1">
      <w:r>
        <w:t xml:space="preserve">Prihodi iz nadležnog proračuna odnosno osnivača PGŽ povećani su sa 69.800,92€ na 93.825,16 € za 32,4 % zbog zapošljavanja tri pomoćnika u nastavi kao i ulaganja u </w:t>
      </w:r>
      <w:proofErr w:type="spellStart"/>
      <w:r>
        <w:t>opemu</w:t>
      </w:r>
      <w:proofErr w:type="spellEnd"/>
      <w:r>
        <w:t xml:space="preserve"> škole.</w:t>
      </w:r>
    </w:p>
    <w:p w14:paraId="01AE9B6D" w14:textId="77777777" w:rsidR="00BC51BF" w:rsidRDefault="00BC51BF"/>
    <w:p w14:paraId="228D5D3F" w14:textId="77777777" w:rsidR="00BC51BF" w:rsidRDefault="00C91CE1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51BF" w14:paraId="70121B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3EF9A8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FC5C41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6BE242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D3E41B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</w:t>
            </w:r>
            <w:r>
              <w:rPr>
                <w:b/>
                <w:sz w:val="18"/>
              </w:rPr>
              <w:t>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E2A963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89230A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51BF" w14:paraId="554C889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C68FD9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891A3A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BFE4DC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BBA8D5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815.909,74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48D636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999.741,07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4E9F93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122,5</w:t>
            </w:r>
          </w:p>
        </w:tc>
      </w:tr>
    </w:tbl>
    <w:p w14:paraId="7420FFEA" w14:textId="77777777" w:rsidR="00BC51BF" w:rsidRDefault="00BC51BF">
      <w:pPr>
        <w:spacing w:after="0"/>
      </w:pPr>
    </w:p>
    <w:p w14:paraId="3106A5E6" w14:textId="77777777" w:rsidR="00BC51BF" w:rsidRDefault="00C91CE1">
      <w:r>
        <w:t>Ukupni rashodi za razdoblje od 01.01 do 31.12. 2025. iznose 999.741,07 € što je povećanje za 22,5% u odnosu na isto razdoblje prošle godine. Ukupni rashodi se najvećim djelom sastoje od računa 31 - rashoda za zaposlene i računa 32 - materijalnih rashoda. K</w:t>
      </w:r>
      <w:r>
        <w:t>od rashoda za zaposlene došlo je do povećanja od 22,9% zbog porasta osnovice u rujnu i zapošljavanja novih djelatnika. Do povećanja je došlo zbog knjiženja plaće za prosinac 2025 koja je isplaćena  siječnju 2026 godine. Kod materijalnih troškova je došlo d</w:t>
      </w:r>
      <w:r>
        <w:t>o povećanja zbog nabavke opreme za školu.</w:t>
      </w:r>
    </w:p>
    <w:p w14:paraId="671745FD" w14:textId="77777777" w:rsidR="00BC51BF" w:rsidRDefault="00BC51BF"/>
    <w:p w14:paraId="02E4E829" w14:textId="77777777" w:rsidR="00BC51BF" w:rsidRDefault="00C91CE1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51BF" w14:paraId="381B1A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AB19EE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0E7950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509EDE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EB9C51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D897F4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4A653F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51BF" w14:paraId="3093B43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D82AF7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F4EEDE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Materijalni rashodi (šifre </w:t>
            </w:r>
            <w:r>
              <w:rPr>
                <w:sz w:val="18"/>
              </w:rPr>
              <w:t>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7C89C7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BE5A94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57.999,98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A5BDF3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68.110,10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74F97A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117,4</w:t>
            </w:r>
          </w:p>
        </w:tc>
      </w:tr>
    </w:tbl>
    <w:p w14:paraId="2D761F64" w14:textId="77777777" w:rsidR="00BC51BF" w:rsidRDefault="00BC51BF">
      <w:pPr>
        <w:spacing w:after="0"/>
      </w:pPr>
    </w:p>
    <w:p w14:paraId="279EFEA5" w14:textId="77777777" w:rsidR="00BC51BF" w:rsidRDefault="00C91CE1">
      <w:r>
        <w:t>Materijalni rashodi su porasli za 17,4 % i to najviše službena putovanja za 151,4% , usluge tekućeg održavanja objekta za 394,4 % (jer smo imali hitnu intervenciju na školi koju nismo planirali) kao i materijal za tekuće održavanje škole. Istovremeno smo s</w:t>
      </w:r>
      <w:r>
        <w:t>manjili stručno usavršavanje djelatnika za 83,3% sitan inventar za 34,7%, ostale usluge za 15,4%, reprezentaciju za 64,3%.</w:t>
      </w:r>
    </w:p>
    <w:p w14:paraId="199BC614" w14:textId="77777777" w:rsidR="00BC51BF" w:rsidRDefault="00BC51BF"/>
    <w:p w14:paraId="080AA158" w14:textId="77777777" w:rsidR="00BC51BF" w:rsidRDefault="00C91CE1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51BF" w14:paraId="6FED26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DC69AA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CE572F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F350EF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74B6C4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946427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D31C2F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51BF" w14:paraId="68F60A4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DC2E14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E0A5BB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42E980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04A2ED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EB2640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276262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483,1</w:t>
            </w:r>
          </w:p>
        </w:tc>
      </w:tr>
    </w:tbl>
    <w:p w14:paraId="41F4A32D" w14:textId="77777777" w:rsidR="00BC51BF" w:rsidRDefault="00BC51BF">
      <w:pPr>
        <w:spacing w:after="0"/>
      </w:pPr>
    </w:p>
    <w:p w14:paraId="6124D255" w14:textId="77777777" w:rsidR="00BC51BF" w:rsidRDefault="00C91CE1">
      <w:r>
        <w:t>Zbog kašnjenja plaćanja računa zatezne kamate su povećane za 383,1%.</w:t>
      </w:r>
    </w:p>
    <w:p w14:paraId="5CA5F0AD" w14:textId="77777777" w:rsidR="00BC51BF" w:rsidRDefault="00BC51BF"/>
    <w:p w14:paraId="650F08F8" w14:textId="77777777" w:rsidR="00BC51BF" w:rsidRDefault="00C91CE1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51BF" w14:paraId="553B8B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D7F00F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211A62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FDFE83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19CA6C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775B1D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EF451E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51BF" w14:paraId="4B33A39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536FC8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F42C9D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donacije, kazne, naknade šteta i kapitalne pomoći (šifre 381+382+383+386)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605E86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170C33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3BF259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184,50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CCF083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179,1</w:t>
            </w:r>
          </w:p>
        </w:tc>
      </w:tr>
    </w:tbl>
    <w:p w14:paraId="17169A37" w14:textId="77777777" w:rsidR="00BC51BF" w:rsidRDefault="00BC51BF">
      <w:pPr>
        <w:spacing w:after="0"/>
      </w:pPr>
    </w:p>
    <w:p w14:paraId="5926EDB8" w14:textId="77777777" w:rsidR="00BC51BF" w:rsidRDefault="00C91CE1">
      <w:r>
        <w:t>Tekuće donacije (nabavka menstrualnih uložaka za učenice) povećane su za 79,1 zbog povećanog broja učenica u ovoj godini.</w:t>
      </w:r>
    </w:p>
    <w:p w14:paraId="457A9F75" w14:textId="77777777" w:rsidR="00BC51BF" w:rsidRDefault="00BC51BF"/>
    <w:p w14:paraId="0C442FC3" w14:textId="77777777" w:rsidR="00BC51BF" w:rsidRDefault="00C91CE1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51BF" w14:paraId="6C02C2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E900AA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CB55C5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A64282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5223D5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357B78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</w:t>
            </w:r>
            <w:r>
              <w:rPr>
                <w:b/>
                <w:sz w:val="18"/>
              </w:rPr>
              <w:t>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CE9A51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51BF" w14:paraId="349D162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E2431A" w14:textId="77777777" w:rsidR="00BC51BF" w:rsidRDefault="00BC51B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35050D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0F9DEF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2ACE56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3AA463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79.129,88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C1606E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968C1B9" w14:textId="77777777" w:rsidR="00BC51BF" w:rsidRDefault="00BC51BF">
      <w:pPr>
        <w:spacing w:after="0"/>
      </w:pPr>
    </w:p>
    <w:p w14:paraId="12DC95F9" w14:textId="77777777" w:rsidR="00BC51BF" w:rsidRDefault="00C91CE1">
      <w:r>
        <w:t xml:space="preserve">Do metodološkog manjka prihoda poslovanja je došlo zbog knjiženja plaće za 12/2025 koja je isplaćena u 01/2026 kao i materijalnih rashoda koji su nastali </w:t>
      </w:r>
      <w:proofErr w:type="spellStart"/>
      <w:r>
        <w:t>ua</w:t>
      </w:r>
      <w:proofErr w:type="spellEnd"/>
      <w:r>
        <w:t xml:space="preserve"> 2025 da plaćeni su u 2026 godini.  Višak koji je prenesen u 2025 godinu iznosi 4.007,15 €  a metodo</w:t>
      </w:r>
      <w:r>
        <w:t>loški manjak koji nastao u ovoj godini iznosi 79.129,88 eura.</w:t>
      </w:r>
    </w:p>
    <w:p w14:paraId="33723B0A" w14:textId="77777777" w:rsidR="00BC51BF" w:rsidRDefault="00BC51BF"/>
    <w:p w14:paraId="404FB058" w14:textId="77777777" w:rsidR="00BC51BF" w:rsidRDefault="00C91CE1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4C2D0545" w14:textId="77777777" w:rsidR="00BC51BF" w:rsidRDefault="00C91CE1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51BF" w14:paraId="72D794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301815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8CCAD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70C3D2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1500E4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D00E1B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BA157F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51BF" w14:paraId="17B8CB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636490" w14:textId="77777777" w:rsidR="00BC51BF" w:rsidRDefault="00BC51B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15CBBF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36134A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8EBA80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113.108,28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959852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106.082,43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130C6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93,8</w:t>
            </w:r>
          </w:p>
        </w:tc>
      </w:tr>
    </w:tbl>
    <w:p w14:paraId="2755C1D4" w14:textId="77777777" w:rsidR="00BC51BF" w:rsidRDefault="00BC51BF">
      <w:pPr>
        <w:spacing w:after="0"/>
      </w:pPr>
    </w:p>
    <w:p w14:paraId="1FF999C4" w14:textId="77777777" w:rsidR="00BC51BF" w:rsidRDefault="00C91CE1">
      <w:r>
        <w:t>Ukupna imovina na dan 01.01. 2025 iznosi 113.108,28 eura. Tijekom 2025 vrijednost imovine smanjena je za 6,2% i sada iznosi 106.082,43 eura.</w:t>
      </w:r>
    </w:p>
    <w:p w14:paraId="458CAD13" w14:textId="77777777" w:rsidR="00BC51BF" w:rsidRDefault="00BC51BF"/>
    <w:p w14:paraId="40D88692" w14:textId="77777777" w:rsidR="00BC51BF" w:rsidRDefault="00C91CE1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51BF" w14:paraId="6D267E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AF729E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CD0099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9CC851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BDCA5C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08D383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A702E2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51BF" w14:paraId="46997A4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BFA745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80F262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na računu kod tuzemnih poslovnih banaka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DF7E3B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FA752D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3.276,22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6E0DBA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967,95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114BE6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29,5</w:t>
            </w:r>
          </w:p>
        </w:tc>
      </w:tr>
    </w:tbl>
    <w:p w14:paraId="08F54A85" w14:textId="77777777" w:rsidR="00BC51BF" w:rsidRDefault="00BC51BF">
      <w:pPr>
        <w:spacing w:after="0"/>
      </w:pPr>
    </w:p>
    <w:p w14:paraId="4538776E" w14:textId="77777777" w:rsidR="00BC51BF" w:rsidRDefault="00C91CE1">
      <w:r>
        <w:t>Saldo na žiro računa na dan 31.12. 2025. godine iznosi 967,95 eura.</w:t>
      </w:r>
    </w:p>
    <w:p w14:paraId="224A89C2" w14:textId="77777777" w:rsidR="00BC51BF" w:rsidRDefault="00BC51BF"/>
    <w:p w14:paraId="2093A64E" w14:textId="77777777" w:rsidR="00BC51BF" w:rsidRDefault="00C91CE1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51BF" w14:paraId="5FB668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5FB51B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B3C48C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87EC60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83FD96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A444BF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EE4ABF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51BF" w14:paraId="215F2A5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E1BA34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B14784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>, od zaposlenih te za više plaćene poreze i ostalo (šifre 122 do 124 - 125 + 129)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1158B5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851C14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2.919,06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92FCB7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2.605,99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F5BCF7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89,3</w:t>
            </w:r>
          </w:p>
        </w:tc>
      </w:tr>
    </w:tbl>
    <w:p w14:paraId="5AE7566B" w14:textId="77777777" w:rsidR="00BC51BF" w:rsidRDefault="00BC51BF">
      <w:pPr>
        <w:spacing w:after="0"/>
      </w:pPr>
    </w:p>
    <w:p w14:paraId="77EB1D69" w14:textId="77777777" w:rsidR="00BC51BF" w:rsidRDefault="00C91CE1">
      <w:r>
        <w:t>Ostala potraživanja obuhvaćaju potraživanja za bolovanja na teret HZZO-a.</w:t>
      </w:r>
    </w:p>
    <w:p w14:paraId="11D43D7C" w14:textId="77777777" w:rsidR="00BC51BF" w:rsidRDefault="00BC51BF"/>
    <w:p w14:paraId="164766BC" w14:textId="77777777" w:rsidR="00BC51BF" w:rsidRDefault="00C91CE1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51BF" w14:paraId="3A0392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3D05F9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1B0CD4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C80606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9BC1F6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6CD388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FBE816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51BF" w14:paraId="138E3A4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16F6D0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074EA6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prihode poslovanja (šifre 161 do 163 + 164 do </w:t>
            </w:r>
            <w:r>
              <w:rPr>
                <w:sz w:val="18"/>
              </w:rPr>
              <w:t>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60FBE9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D1009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2.155,18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4CDC73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73.305,60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B1DD94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3401,4</w:t>
            </w:r>
          </w:p>
        </w:tc>
      </w:tr>
    </w:tbl>
    <w:p w14:paraId="525E8285" w14:textId="77777777" w:rsidR="00BC51BF" w:rsidRDefault="00BC51BF">
      <w:pPr>
        <w:spacing w:after="0"/>
      </w:pPr>
    </w:p>
    <w:p w14:paraId="0EC20229" w14:textId="77777777" w:rsidR="00BC51BF" w:rsidRDefault="00C91CE1">
      <w:r>
        <w:t>Do povećanja prihoda knjiženja je došlo zbog knjiženja plaća na konto 16.</w:t>
      </w:r>
    </w:p>
    <w:p w14:paraId="43D98A34" w14:textId="77777777" w:rsidR="00BC51BF" w:rsidRDefault="00BC51BF"/>
    <w:p w14:paraId="0B97C649" w14:textId="77777777" w:rsidR="00BC51BF" w:rsidRDefault="00C91CE1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51BF" w14:paraId="31D922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9E8661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96295A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BD540A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4DBE27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84B2AF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C7DF94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51BF" w14:paraId="6B3BB6E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022564" w14:textId="77777777" w:rsidR="00BC51BF" w:rsidRDefault="00BC51B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615ADF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I VLASTITI IZVORI (šifre </w:t>
            </w:r>
            <w:r>
              <w:rPr>
                <w:sz w:val="18"/>
              </w:rPr>
              <w:t>2+9)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E80C6E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31B59E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113.108,28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11708C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106.082,43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179854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93,8</w:t>
            </w:r>
          </w:p>
        </w:tc>
      </w:tr>
    </w:tbl>
    <w:p w14:paraId="6CE423B7" w14:textId="77777777" w:rsidR="00BC51BF" w:rsidRDefault="00BC51BF">
      <w:pPr>
        <w:spacing w:after="0"/>
      </w:pPr>
    </w:p>
    <w:p w14:paraId="073B0A10" w14:textId="77777777" w:rsidR="00BC51BF" w:rsidRDefault="00C91CE1">
      <w:r>
        <w:t>Ukupne obveze na dan 01.01.2025. iznose 113.108,28 € te su tijekom godine smanjene za 6,2% na 106.082,43 eura</w:t>
      </w:r>
    </w:p>
    <w:p w14:paraId="7EFDAE8C" w14:textId="77777777" w:rsidR="00BC51BF" w:rsidRDefault="00BC51BF"/>
    <w:p w14:paraId="651E2D8A" w14:textId="77777777" w:rsidR="00BC51BF" w:rsidRDefault="00C91CE1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51BF" w14:paraId="46AD64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C5EA90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C47194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45F761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30426B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70D837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238B8D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51BF" w14:paraId="3F143D0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EEEEFE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533F24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Rezultat - višak/manjak (šifre </w:t>
            </w:r>
            <w:r>
              <w:rPr>
                <w:sz w:val="18"/>
              </w:rPr>
              <w:t>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AA431C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DD6CC0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4.007,15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A1EAF3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-77.589,67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BF4704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-1936,3</w:t>
            </w:r>
          </w:p>
        </w:tc>
      </w:tr>
    </w:tbl>
    <w:p w14:paraId="0675B71F" w14:textId="77777777" w:rsidR="00BC51BF" w:rsidRDefault="00BC51BF">
      <w:pPr>
        <w:spacing w:after="0"/>
      </w:pPr>
    </w:p>
    <w:p w14:paraId="6CFECC9E" w14:textId="77777777" w:rsidR="00BC51BF" w:rsidRDefault="00C91CE1">
      <w:r>
        <w:t>U obračunskom razdoblju škola je ostvarila metodološki manjak u iznosu od 77.589,67 eura zbog knjiženja 13 i isplata 12 plaća.</w:t>
      </w:r>
    </w:p>
    <w:p w14:paraId="05FCB79F" w14:textId="77777777" w:rsidR="00BC51BF" w:rsidRDefault="00BC51BF"/>
    <w:p w14:paraId="4B1D09BB" w14:textId="77777777" w:rsidR="00BC51BF" w:rsidRDefault="00C91CE1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51BF" w14:paraId="1AE825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0B22E7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46B4D6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944311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DDCE66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43F631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48BF84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51BF" w14:paraId="0EF92D8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FD7897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080F06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Obračunati </w:t>
            </w:r>
            <w:r>
              <w:rPr>
                <w:sz w:val="18"/>
              </w:rPr>
              <w:t>prihodi poslovanja (šifre 961 do 963 + 964 do 968)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352EAD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4C5FFD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2.155,18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0B4F24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73.305,60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E7F6EF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3401,4</w:t>
            </w:r>
          </w:p>
        </w:tc>
      </w:tr>
    </w:tbl>
    <w:p w14:paraId="085473CE" w14:textId="77777777" w:rsidR="00BC51BF" w:rsidRDefault="00BC51BF">
      <w:pPr>
        <w:spacing w:after="0"/>
      </w:pPr>
    </w:p>
    <w:p w14:paraId="2AEB5E8F" w14:textId="77777777" w:rsidR="00BC51BF" w:rsidRDefault="00C91CE1">
      <w:r>
        <w:t>Do povećanja prihoda knjiženja je došlo zbog knjiženja plaća na konto 96.</w:t>
      </w:r>
    </w:p>
    <w:p w14:paraId="22975AAF" w14:textId="77777777" w:rsidR="00BC51BF" w:rsidRDefault="00BC51BF"/>
    <w:p w14:paraId="237EB109" w14:textId="77777777" w:rsidR="00BC51BF" w:rsidRDefault="00C91CE1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4E5A685B" w14:textId="77777777" w:rsidR="00BC51BF" w:rsidRDefault="00C91CE1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51BF" w14:paraId="4C7F12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624CD6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2AAF85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9C4BDE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177995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A04595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9A5A17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51BF" w14:paraId="23C2913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06D203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B39FD9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Obrazovanje (šifre </w:t>
            </w:r>
            <w:r>
              <w:rPr>
                <w:sz w:val="18"/>
              </w:rPr>
              <w:t>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080ABD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90FCBA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816.695,65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3C6661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1.002.221,71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3065E9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122,7</w:t>
            </w:r>
          </w:p>
        </w:tc>
      </w:tr>
    </w:tbl>
    <w:p w14:paraId="7A4977DD" w14:textId="77777777" w:rsidR="00BC51BF" w:rsidRDefault="00BC51BF">
      <w:pPr>
        <w:spacing w:after="0"/>
      </w:pPr>
    </w:p>
    <w:p w14:paraId="6F8862C7" w14:textId="77777777" w:rsidR="00BC51BF" w:rsidRDefault="00C91CE1">
      <w:r>
        <w:t>Do povećanja od 22,7 % došlo je zbog povećanih rashoda zbog kojih je došlo zbog povećanja osnovice plaće za djelatnike kao i zapošljavanja novih djelatnika.</w:t>
      </w:r>
    </w:p>
    <w:p w14:paraId="5E42521E" w14:textId="77777777" w:rsidR="00BC51BF" w:rsidRDefault="00BC51BF"/>
    <w:p w14:paraId="31554368" w14:textId="77777777" w:rsidR="00BC51BF" w:rsidRDefault="00C91CE1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14:paraId="2F07C5F3" w14:textId="77777777" w:rsidR="00BC51BF" w:rsidRDefault="00C91CE1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51BF" w14:paraId="422385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41B499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BA29B2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DE82E1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</w:t>
            </w:r>
            <w:r>
              <w:rPr>
                <w:b/>
                <w:sz w:val="18"/>
              </w:rPr>
              <w:t>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4FDD42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E81FEA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1D466D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51BF" w14:paraId="6CA08C3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B84D42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78D53D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994D17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2F5394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A64802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25364A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6314525" w14:textId="77777777" w:rsidR="00BC51BF" w:rsidRDefault="00BC51BF">
      <w:pPr>
        <w:spacing w:after="0"/>
      </w:pPr>
    </w:p>
    <w:p w14:paraId="0B368AD0" w14:textId="77777777" w:rsidR="00BC51BF" w:rsidRDefault="00C91CE1">
      <w:r>
        <w:t>U 2025 godini nije bilo promjene obujma imovine.</w:t>
      </w:r>
    </w:p>
    <w:p w14:paraId="46781665" w14:textId="77777777" w:rsidR="00BC51BF" w:rsidRDefault="00BC51BF"/>
    <w:p w14:paraId="07FFE973" w14:textId="77777777" w:rsidR="00BC51BF" w:rsidRDefault="00C91CE1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7FABA290" w14:textId="77777777" w:rsidR="00BC51BF" w:rsidRDefault="00C91CE1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BC51BF" w14:paraId="3C36D7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885A95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07F219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DF9F8C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F87802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209667" w14:textId="77777777" w:rsidR="00BC51BF" w:rsidRDefault="00C91CE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51BF" w14:paraId="77223F4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FC8454" w14:textId="77777777" w:rsidR="00BC51BF" w:rsidRDefault="00BC51B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6D4FC0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994C4B" w14:textId="77777777" w:rsidR="00BC51BF" w:rsidRDefault="00C91CE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10C764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BE21C3" w14:textId="77777777" w:rsidR="00BC51BF" w:rsidRDefault="00C91CE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7E1A5E8" w14:textId="77777777" w:rsidR="00BC51BF" w:rsidRDefault="00BC51BF">
      <w:pPr>
        <w:spacing w:after="0"/>
      </w:pPr>
    </w:p>
    <w:p w14:paraId="26A6BAE1" w14:textId="77777777" w:rsidR="00BC51BF" w:rsidRDefault="00C91CE1">
      <w:r>
        <w:t>Stanje obveza na dan 01.01 2025. iznosi 66.173,67€. Stanje obveza na kraju izvještajnog razdoblja 31.12. 2025. iznosi 81.163,61 €koji sadrži nedospjele obveze proračunskih korisnika u iznosu od 81.163,61eura.</w:t>
      </w:r>
    </w:p>
    <w:p w14:paraId="655C1E7B" w14:textId="77777777" w:rsidR="00BC51BF" w:rsidRDefault="00BC51BF"/>
    <w:sectPr w:rsidR="00BC51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BF"/>
    <w:rsid w:val="00BC51BF"/>
    <w:rsid w:val="00C9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89F84"/>
  <w15:docId w15:val="{8BB810B4-7DD9-4CB4-A5D4-60FE9A457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1218</Words>
  <Characters>6943</Characters>
  <Application>Microsoft Office Word</Application>
  <DocSecurity>0</DocSecurity>
  <Lines>57</Lines>
  <Paragraphs>16</Paragraphs>
  <ScaleCrop>false</ScaleCrop>
  <Company/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Dolores</dc:creator>
  <cp:lastModifiedBy>Dolores</cp:lastModifiedBy>
  <cp:revision>2</cp:revision>
  <cp:lastPrinted>2026-01-30T10:32:00Z</cp:lastPrinted>
  <dcterms:created xsi:type="dcterms:W3CDTF">2026-01-30T10:32:00Z</dcterms:created>
  <dcterms:modified xsi:type="dcterms:W3CDTF">2026-01-30T10:32:00Z</dcterms:modified>
</cp:coreProperties>
</file>