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17B2" w14:textId="77777777" w:rsidR="00203E9A" w:rsidRPr="00203E9A" w:rsidRDefault="00203E9A" w:rsidP="00203E9A">
      <w:pPr>
        <w:spacing w:after="0" w:line="240" w:lineRule="auto"/>
        <w:outlineLvl w:val="0"/>
        <w:rPr>
          <w:rFonts w:ascii="Source Sans Pro" w:eastAsia="Times New Roman" w:hAnsi="Source Sans Pro" w:cs="Times New Roman"/>
          <w:b/>
          <w:bCs/>
          <w:kern w:val="36"/>
          <w:sz w:val="48"/>
          <w:szCs w:val="48"/>
          <w:lang w:eastAsia="hr-HR"/>
        </w:rPr>
      </w:pPr>
      <w:r w:rsidRPr="00203E9A">
        <w:rPr>
          <w:rFonts w:ascii="Source Sans Pro" w:eastAsia="Times New Roman" w:hAnsi="Source Sans Pro" w:cs="Times New Roman"/>
          <w:b/>
          <w:bCs/>
          <w:kern w:val="36"/>
          <w:sz w:val="48"/>
          <w:szCs w:val="48"/>
          <w:lang w:eastAsia="hr-HR"/>
        </w:rPr>
        <w:t>JAVNA OBJAVA INFORMACIJA O TROŠENJU SREDSTAVA</w:t>
      </w:r>
    </w:p>
    <w:p w14:paraId="2646DD02" w14:textId="77777777" w:rsidR="00203E9A" w:rsidRPr="00203E9A" w:rsidRDefault="00203E9A" w:rsidP="00203E9A">
      <w:pPr>
        <w:spacing w:before="100" w:beforeAutospacing="1" w:after="360" w:line="240" w:lineRule="auto"/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</w:pPr>
      <w:r w:rsidRPr="00203E9A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Jedinice lokalne i područne (regionalne) samouprave, proračunski i izvanproračunski korisnici dužni su javno objavljivati informacije o trošenju sredstava na svojim mrežnim stranicama na način da te informacije budu lako dostupne, </w:t>
      </w:r>
      <w:proofErr w:type="spellStart"/>
      <w:r w:rsidRPr="00203E9A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>pretražive</w:t>
      </w:r>
      <w:proofErr w:type="spellEnd"/>
      <w:r w:rsidRPr="00203E9A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t xml:space="preserve"> i strojno čitljive prema članku 144. stavku 10. Zakona o proračunu (NN br. 144/21).</w:t>
      </w:r>
      <w:r w:rsidRPr="00203E9A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br/>
        <w:t>Naputak o okvirnom sadržaju, minimalnom skupu podataka te načinu javne objave informacija o trošenju sredstava na mrežnim stranicama jedinica lokalne i područne (regionalne) samouprave te proračunskih i izvanproračunskih korisnika državnog proračuna i jedinica lokalne i područne (regionalne) samouprave (NN br. 59/23) propisuje okvirni sadržaj, minimalni skup podataka i način javne objave informacija o trošenju sredstava na mrežnim stranicama.</w:t>
      </w:r>
      <w:r w:rsidRPr="00203E9A">
        <w:rPr>
          <w:rFonts w:ascii="Open Sans" w:eastAsia="Times New Roman" w:hAnsi="Open Sans" w:cs="Open Sans"/>
          <w:color w:val="3A3A3A"/>
          <w:sz w:val="26"/>
          <w:szCs w:val="26"/>
          <w:lang w:eastAsia="hr-HR"/>
        </w:rPr>
        <w:br/>
        <w:t>Primorsko-goranska županija javno objavljuje informacije o isplatama pravnim i fizičkim osobama koje su raspoložive u poslovno-financijskom sustavu županijske riznice: </w:t>
      </w:r>
      <w:hyperlink r:id="rId4" w:tgtFrame="_blank" w:history="1">
        <w:r w:rsidRPr="00203E9A">
          <w:rPr>
            <w:rFonts w:ascii="Open Sans" w:eastAsia="Times New Roman" w:hAnsi="Open Sans" w:cs="Open Sans"/>
            <w:color w:val="4169E1"/>
            <w:sz w:val="26"/>
            <w:szCs w:val="26"/>
            <w:u w:val="single"/>
            <w:lang w:eastAsia="hr-HR"/>
          </w:rPr>
          <w:t>https://transparentno.pgz.hr/</w:t>
        </w:r>
      </w:hyperlink>
    </w:p>
    <w:p w14:paraId="1D8E6B5D" w14:textId="77777777" w:rsidR="00203E9A" w:rsidRDefault="00203E9A"/>
    <w:sectPr w:rsidR="00203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9A"/>
    <w:rsid w:val="002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EB98"/>
  <w15:chartTrackingRefBased/>
  <w15:docId w15:val="{105F37EE-8631-4538-AEBC-685C8F79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03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3E9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0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03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pg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1</cp:revision>
  <dcterms:created xsi:type="dcterms:W3CDTF">2025-04-04T09:18:00Z</dcterms:created>
  <dcterms:modified xsi:type="dcterms:W3CDTF">2025-04-04T09:19:00Z</dcterms:modified>
</cp:coreProperties>
</file>